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7D" w:rsidRPr="00B04C7D" w:rsidRDefault="00B04C7D" w:rsidP="00B04C7D">
      <w:pPr>
        <w:rPr>
          <w:b/>
          <w:color w:val="7030A0"/>
          <w:u w:val="single"/>
        </w:rPr>
      </w:pPr>
      <w:bookmarkStart w:id="0" w:name="_GoBack"/>
      <w:bookmarkEnd w:id="0"/>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V primeru, da vam okoliščine v zvezi s koronavirusom ovirajo izvedbo aktivnosti, je priporočen postopek razmisleka sledeč.</w:t>
      </w:r>
    </w:p>
    <w:p w:rsidR="008B7D60" w:rsidRDefault="008B7D60" w:rsidP="008B7D60">
      <w:pPr>
        <w:numPr>
          <w:ilvl w:val="0"/>
          <w:numId w:val="11"/>
        </w:numPr>
        <w:shd w:val="clear" w:color="auto" w:fill="FFFFFF"/>
        <w:spacing w:before="100" w:beforeAutospacing="1" w:after="100" w:afterAutospacing="1" w:line="360" w:lineRule="atLeast"/>
        <w:ind w:left="0"/>
        <w:rPr>
          <w:rFonts w:ascii="Arial" w:hAnsi="Arial" w:cs="Arial"/>
          <w:color w:val="383838"/>
          <w:sz w:val="27"/>
          <w:szCs w:val="27"/>
        </w:rPr>
      </w:pPr>
      <w:r>
        <w:rPr>
          <w:rStyle w:val="Krepko"/>
          <w:rFonts w:ascii="Arial" w:hAnsi="Arial" w:cs="Arial"/>
          <w:color w:val="383838"/>
          <w:sz w:val="27"/>
          <w:szCs w:val="27"/>
        </w:rPr>
        <w:t>Pridobite ažurne informacije o stanju</w:t>
      </w:r>
      <w:r>
        <w:rPr>
          <w:rFonts w:ascii="Arial" w:hAnsi="Arial" w:cs="Arial"/>
          <w:color w:val="383838"/>
          <w:sz w:val="27"/>
          <w:szCs w:val="27"/>
        </w:rPr>
        <w:t> glede koronavirusa na destinaciji (spletne strani </w:t>
      </w:r>
      <w:hyperlink r:id="rId5" w:history="1">
        <w:r>
          <w:rPr>
            <w:rStyle w:val="Hiperpovezava"/>
            <w:color w:val="0077C9"/>
            <w:sz w:val="27"/>
            <w:szCs w:val="27"/>
          </w:rPr>
          <w:t>MZZ</w:t>
        </w:r>
      </w:hyperlink>
      <w:r>
        <w:rPr>
          <w:rFonts w:ascii="Arial" w:hAnsi="Arial" w:cs="Arial"/>
          <w:color w:val="383838"/>
          <w:sz w:val="27"/>
          <w:szCs w:val="27"/>
        </w:rPr>
        <w:t>/</w:t>
      </w:r>
      <w:hyperlink r:id="rId6" w:history="1">
        <w:r>
          <w:rPr>
            <w:rStyle w:val="Hiperpovezava"/>
            <w:color w:val="0077C9"/>
            <w:sz w:val="27"/>
            <w:szCs w:val="27"/>
          </w:rPr>
          <w:t>NIJZ</w:t>
        </w:r>
      </w:hyperlink>
      <w:r>
        <w:rPr>
          <w:rFonts w:ascii="Arial" w:hAnsi="Arial" w:cs="Arial"/>
          <w:color w:val="383838"/>
          <w:sz w:val="27"/>
          <w:szCs w:val="27"/>
        </w:rPr>
        <w:t> in drugih resornih služb, sporočila partnerskih institucij oz. njihovi uradni viri) ter druge relevantne podatke (udeležba drugih partnerjev v primeru partnerskega sestanka ali LTT aktivnosti).</w:t>
      </w:r>
    </w:p>
    <w:p w:rsidR="008B7D60" w:rsidRDefault="008B7D60" w:rsidP="008B7D60">
      <w:pPr>
        <w:numPr>
          <w:ilvl w:val="0"/>
          <w:numId w:val="11"/>
        </w:numPr>
        <w:shd w:val="clear" w:color="auto" w:fill="FFFFFF"/>
        <w:spacing w:before="100" w:beforeAutospacing="1" w:after="100" w:afterAutospacing="1" w:line="360" w:lineRule="atLeast"/>
        <w:ind w:left="0"/>
        <w:rPr>
          <w:rFonts w:ascii="Arial" w:hAnsi="Arial" w:cs="Arial"/>
          <w:color w:val="383838"/>
          <w:sz w:val="27"/>
          <w:szCs w:val="27"/>
        </w:rPr>
      </w:pPr>
      <w:r>
        <w:rPr>
          <w:rFonts w:ascii="Arial" w:hAnsi="Arial" w:cs="Arial"/>
          <w:color w:val="383838"/>
          <w:sz w:val="27"/>
          <w:szCs w:val="27"/>
        </w:rPr>
        <w:t>Na podlagi zbranih dejstev in možnosti, ki jih sporazum za E+ aktivnost ponuja, se </w:t>
      </w:r>
      <w:r>
        <w:rPr>
          <w:rStyle w:val="Krepko"/>
          <w:rFonts w:ascii="Arial" w:hAnsi="Arial" w:cs="Arial"/>
          <w:color w:val="383838"/>
          <w:sz w:val="27"/>
          <w:szCs w:val="27"/>
        </w:rPr>
        <w:t>odločite</w:t>
      </w:r>
      <w:r>
        <w:rPr>
          <w:rFonts w:ascii="Arial" w:hAnsi="Arial" w:cs="Arial"/>
          <w:color w:val="383838"/>
          <w:sz w:val="27"/>
          <w:szCs w:val="27"/>
        </w:rPr>
        <w:t> (odpoved, prestavitev, premik lokacije ipd.).</w:t>
      </w:r>
    </w:p>
    <w:p w:rsidR="008B7D60" w:rsidRDefault="008B7D60" w:rsidP="008B7D60">
      <w:pPr>
        <w:numPr>
          <w:ilvl w:val="0"/>
          <w:numId w:val="11"/>
        </w:numPr>
        <w:shd w:val="clear" w:color="auto" w:fill="FFFFFF"/>
        <w:spacing w:before="100" w:beforeAutospacing="1" w:after="100" w:afterAutospacing="1" w:line="360" w:lineRule="atLeast"/>
        <w:ind w:left="0"/>
        <w:rPr>
          <w:rFonts w:ascii="Arial" w:hAnsi="Arial" w:cs="Arial"/>
          <w:color w:val="383838"/>
          <w:sz w:val="27"/>
          <w:szCs w:val="27"/>
        </w:rPr>
      </w:pPr>
      <w:r>
        <w:rPr>
          <w:rFonts w:ascii="Arial" w:hAnsi="Arial" w:cs="Arial"/>
          <w:color w:val="383838"/>
          <w:sz w:val="27"/>
          <w:szCs w:val="27"/>
        </w:rPr>
        <w:t>Glede na odločitev sledite ustrezni poti (informiranje partnerjev, vloga za spremembo sporazuma ipd. – po potrebi se posvetujte s skrbnikom sporazuma).</w:t>
      </w:r>
    </w:p>
    <w:p w:rsidR="008B7D60" w:rsidRDefault="008B7D60" w:rsidP="008B7D60">
      <w:pPr>
        <w:numPr>
          <w:ilvl w:val="0"/>
          <w:numId w:val="11"/>
        </w:numPr>
        <w:shd w:val="clear" w:color="auto" w:fill="FFFFFF"/>
        <w:spacing w:before="100" w:beforeAutospacing="1" w:after="100" w:afterAutospacing="1" w:line="360" w:lineRule="atLeast"/>
        <w:ind w:left="0"/>
        <w:rPr>
          <w:rFonts w:ascii="Arial" w:hAnsi="Arial" w:cs="Arial"/>
          <w:color w:val="383838"/>
          <w:sz w:val="27"/>
          <w:szCs w:val="27"/>
        </w:rPr>
      </w:pPr>
      <w:r>
        <w:rPr>
          <w:rFonts w:ascii="Arial" w:hAnsi="Arial" w:cs="Arial"/>
          <w:color w:val="383838"/>
          <w:sz w:val="27"/>
          <w:szCs w:val="27"/>
        </w:rPr>
        <w:t>Če so z vašo odločitvijo nastali stroški, aktivnosti vezane na strošek pa ne boste izvedli (odpoved letalske karte, prestavitev karte, odpoved rezervacije namestitve ipd.), poskusite pridobiti sredstva povrnjena oz. refundirana na drug način (prestavitev že plačane rezervacije namestitve na nov datum).</w:t>
      </w:r>
    </w:p>
    <w:p w:rsidR="008B7D60" w:rsidRDefault="008B7D60" w:rsidP="008B7D60">
      <w:pPr>
        <w:numPr>
          <w:ilvl w:val="0"/>
          <w:numId w:val="11"/>
        </w:numPr>
        <w:shd w:val="clear" w:color="auto" w:fill="FFFFFF"/>
        <w:spacing w:before="100" w:beforeAutospacing="1" w:after="100" w:afterAutospacing="1" w:line="360" w:lineRule="atLeast"/>
        <w:ind w:left="0"/>
        <w:rPr>
          <w:rFonts w:ascii="Arial" w:hAnsi="Arial" w:cs="Arial"/>
          <w:color w:val="383838"/>
          <w:sz w:val="27"/>
          <w:szCs w:val="27"/>
        </w:rPr>
      </w:pPr>
      <w:r>
        <w:rPr>
          <w:rFonts w:ascii="Arial" w:hAnsi="Arial" w:cs="Arial"/>
          <w:color w:val="383838"/>
          <w:sz w:val="27"/>
          <w:szCs w:val="27"/>
        </w:rPr>
        <w:t>Če ne glede na zgoraj napisano še vedno ostane določen strošek, ki ga ne boste mogli kriti iz sredstev izvedenih aktivnosti, </w:t>
      </w:r>
      <w:r>
        <w:rPr>
          <w:rStyle w:val="Krepko"/>
          <w:rFonts w:ascii="Arial" w:hAnsi="Arial" w:cs="Arial"/>
          <w:color w:val="383838"/>
          <w:sz w:val="27"/>
          <w:szCs w:val="27"/>
        </w:rPr>
        <w:t>ga lahko deklarirate po že znanih navodilih za primer višje sile v primeru mobilnosti oz. pod postavko »izredni stroški« pri projektih:</w:t>
      </w:r>
    </w:p>
    <w:p w:rsidR="008B7D60" w:rsidRDefault="008B7D60" w:rsidP="008B7D60">
      <w:pPr>
        <w:numPr>
          <w:ilvl w:val="0"/>
          <w:numId w:val="12"/>
        </w:numPr>
        <w:shd w:val="clear" w:color="auto" w:fill="FFFFFF"/>
        <w:spacing w:before="240" w:after="240" w:line="360" w:lineRule="atLeast"/>
        <w:ind w:left="0"/>
        <w:rPr>
          <w:rFonts w:ascii="Arial" w:hAnsi="Arial" w:cs="Arial"/>
          <w:color w:val="383838"/>
          <w:sz w:val="27"/>
          <w:szCs w:val="27"/>
        </w:rPr>
      </w:pPr>
    </w:p>
    <w:p w:rsidR="008B7D60" w:rsidRDefault="008B7D60" w:rsidP="008B7D60">
      <w:pPr>
        <w:numPr>
          <w:ilvl w:val="1"/>
          <w:numId w:val="12"/>
        </w:numPr>
        <w:shd w:val="clear" w:color="auto" w:fill="FFFFFF"/>
        <w:spacing w:before="100" w:beforeAutospacing="1" w:after="100" w:afterAutospacing="1" w:line="360" w:lineRule="atLeast"/>
        <w:ind w:left="0"/>
        <w:rPr>
          <w:rFonts w:ascii="Arial" w:hAnsi="Arial" w:cs="Arial"/>
          <w:color w:val="383838"/>
          <w:sz w:val="27"/>
          <w:szCs w:val="27"/>
        </w:rPr>
      </w:pPr>
      <w:r>
        <w:rPr>
          <w:rFonts w:ascii="Arial" w:hAnsi="Arial" w:cs="Arial"/>
          <w:color w:val="383838"/>
          <w:sz w:val="27"/>
          <w:szCs w:val="27"/>
        </w:rPr>
        <w:t>v končnem poročilu točno navedite vse okoliščine in vašo odločitev,</w:t>
      </w:r>
    </w:p>
    <w:p w:rsidR="008B7D60" w:rsidRDefault="008B7D60" w:rsidP="008B7D60">
      <w:pPr>
        <w:numPr>
          <w:ilvl w:val="1"/>
          <w:numId w:val="12"/>
        </w:numPr>
        <w:shd w:val="clear" w:color="auto" w:fill="FFFFFF"/>
        <w:spacing w:before="100" w:beforeAutospacing="1" w:after="100" w:afterAutospacing="1" w:line="360" w:lineRule="atLeast"/>
        <w:ind w:left="0"/>
        <w:rPr>
          <w:rFonts w:ascii="Arial" w:hAnsi="Arial" w:cs="Arial"/>
          <w:color w:val="383838"/>
          <w:sz w:val="27"/>
          <w:szCs w:val="27"/>
        </w:rPr>
      </w:pPr>
      <w:r>
        <w:rPr>
          <w:rFonts w:ascii="Arial" w:hAnsi="Arial" w:cs="Arial"/>
          <w:color w:val="383838"/>
          <w:sz w:val="27"/>
          <w:szCs w:val="27"/>
        </w:rPr>
        <w:t>navedbe dejstev podprite z ustrezno dokumentacijo (da je šlo za območje, okuženo z virusom; da je država zaprla šole; da je država prepovedala mobilnosti, odpoved gostiteljske institucije ipd.),</w:t>
      </w:r>
    </w:p>
    <w:p w:rsidR="008B7D60" w:rsidRDefault="008B7D60" w:rsidP="008B7D60">
      <w:pPr>
        <w:numPr>
          <w:ilvl w:val="1"/>
          <w:numId w:val="12"/>
        </w:numPr>
        <w:shd w:val="clear" w:color="auto" w:fill="FFFFFF"/>
        <w:spacing w:before="100" w:beforeAutospacing="1" w:after="100" w:afterAutospacing="1" w:line="360" w:lineRule="atLeast"/>
        <w:ind w:left="0"/>
        <w:rPr>
          <w:rFonts w:ascii="Arial" w:hAnsi="Arial" w:cs="Arial"/>
          <w:color w:val="383838"/>
          <w:sz w:val="27"/>
          <w:szCs w:val="27"/>
        </w:rPr>
      </w:pPr>
      <w:r>
        <w:rPr>
          <w:rFonts w:ascii="Arial" w:hAnsi="Arial" w:cs="Arial"/>
          <w:color w:val="383838"/>
          <w:sz w:val="27"/>
          <w:szCs w:val="27"/>
        </w:rPr>
        <w:t>navedeni znesek izkažete z računom.</w:t>
      </w:r>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V pomoč še kontakti območnih enot NIJZ:</w:t>
      </w:r>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Celje: </w:t>
      </w:r>
      <w:hyperlink r:id="rId7" w:history="1">
        <w:r>
          <w:rPr>
            <w:rStyle w:val="Hiperpovezava"/>
            <w:color w:val="0077C9"/>
            <w:sz w:val="27"/>
            <w:szCs w:val="27"/>
          </w:rPr>
          <w:t>https://www.nijz.si/sl/regije/obmocna-enota-celje</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Koper: </w:t>
      </w:r>
      <w:hyperlink r:id="rId8" w:history="1">
        <w:r>
          <w:rPr>
            <w:rStyle w:val="Hiperpovezava"/>
            <w:color w:val="0077C9"/>
            <w:sz w:val="27"/>
            <w:szCs w:val="27"/>
          </w:rPr>
          <w:t>https://www.nijz.si/sl/regije/obmocna-enota-koper</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Kranja: </w:t>
      </w:r>
      <w:hyperlink r:id="rId9" w:history="1">
        <w:r>
          <w:rPr>
            <w:rStyle w:val="Hiperpovezava"/>
            <w:color w:val="0077C9"/>
            <w:sz w:val="27"/>
            <w:szCs w:val="27"/>
          </w:rPr>
          <w:t>https://www.nijz.si/sl/regije/obmocna-enota-kranj</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Ljubljana: </w:t>
      </w:r>
      <w:hyperlink r:id="rId10" w:history="1">
        <w:r>
          <w:rPr>
            <w:rStyle w:val="Hiperpovezava"/>
            <w:color w:val="0077C9"/>
            <w:sz w:val="27"/>
            <w:szCs w:val="27"/>
          </w:rPr>
          <w:t>https://www.nijz.si/sl/regije/obmocna-enota-ljubljana</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Ravne: </w:t>
      </w:r>
      <w:hyperlink r:id="rId11" w:history="1">
        <w:r>
          <w:rPr>
            <w:rStyle w:val="Hiperpovezava"/>
            <w:color w:val="0077C9"/>
            <w:sz w:val="27"/>
            <w:szCs w:val="27"/>
          </w:rPr>
          <w:t>https://www.nijz.si/sl/regije/obmocna-enota-ravne-na-koroskem</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lastRenderedPageBreak/>
        <w:t>OE Novo mesto: </w:t>
      </w:r>
      <w:hyperlink r:id="rId12" w:history="1">
        <w:r>
          <w:rPr>
            <w:rStyle w:val="Hiperpovezava"/>
            <w:color w:val="0077C9"/>
            <w:sz w:val="27"/>
            <w:szCs w:val="27"/>
          </w:rPr>
          <w:t>https://www.nijz.si/sl/regije/obmocna-enota-novo-mesto</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Nova Gorica: </w:t>
      </w:r>
      <w:hyperlink r:id="rId13" w:history="1">
        <w:r>
          <w:rPr>
            <w:rStyle w:val="Hiperpovezava"/>
            <w:color w:val="0077C9"/>
            <w:sz w:val="27"/>
            <w:szCs w:val="27"/>
          </w:rPr>
          <w:t>https://www.nijz.si/sl/regije/obmocna-enota-nova-gorica</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Murska Sobota: </w:t>
      </w:r>
      <w:hyperlink r:id="rId14" w:history="1">
        <w:r>
          <w:rPr>
            <w:rStyle w:val="Hiperpovezava"/>
            <w:color w:val="0077C9"/>
            <w:sz w:val="27"/>
            <w:szCs w:val="27"/>
          </w:rPr>
          <w:t>https://www.nijz.si/sl/regije/obmocna-enota-murska-sobota</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OE Maribor: </w:t>
      </w:r>
      <w:hyperlink r:id="rId15" w:history="1">
        <w:r>
          <w:rPr>
            <w:rStyle w:val="Hiperpovezava"/>
            <w:color w:val="0077C9"/>
            <w:sz w:val="27"/>
            <w:szCs w:val="27"/>
          </w:rPr>
          <w:t>https://www.nijz.si/sl/regije/obmocna-enota-maribor</w:t>
        </w:r>
      </w:hyperlink>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 </w:t>
      </w:r>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Upamo, da so vam navodila v pomoč. Verjamemo, da je nastala situacija za vse nas nelagodna in zahteva dodatno energijo, a z nekaj volje bomo rešili vse zaplete.</w:t>
      </w:r>
    </w:p>
    <w:p w:rsidR="008B7D60" w:rsidRDefault="008B7D60" w:rsidP="008B7D60">
      <w:pPr>
        <w:pStyle w:val="Navadensplet"/>
        <w:shd w:val="clear" w:color="auto" w:fill="FFFFFF"/>
        <w:spacing w:after="225" w:line="360" w:lineRule="atLeast"/>
        <w:rPr>
          <w:rFonts w:ascii="Arial" w:hAnsi="Arial" w:cs="Arial"/>
          <w:color w:val="383838"/>
          <w:sz w:val="27"/>
          <w:szCs w:val="27"/>
        </w:rPr>
      </w:pPr>
      <w:r>
        <w:rPr>
          <w:rFonts w:ascii="Arial" w:hAnsi="Arial" w:cs="Arial"/>
          <w:color w:val="383838"/>
          <w:sz w:val="27"/>
          <w:szCs w:val="27"/>
        </w:rPr>
        <w:t>ekipa Erasmus+</w:t>
      </w:r>
    </w:p>
    <w:p w:rsidR="00487365" w:rsidRPr="005370FD" w:rsidRDefault="00487365" w:rsidP="00487365">
      <w:pPr>
        <w:rPr>
          <w:rStyle w:val="Hiperpovezava"/>
          <w:rFonts w:ascii="Garamond" w:hAnsi="Garamond"/>
        </w:rPr>
      </w:pPr>
    </w:p>
    <w:p w:rsidR="00487365" w:rsidRPr="005370FD" w:rsidRDefault="00487365" w:rsidP="00487365">
      <w:pPr>
        <w:rPr>
          <w:rStyle w:val="Hiperpovezava"/>
          <w:rFonts w:ascii="Garamond" w:hAnsi="Garamond"/>
        </w:rPr>
      </w:pPr>
    </w:p>
    <w:p w:rsidR="00487365" w:rsidRPr="005370FD" w:rsidRDefault="00487365" w:rsidP="00487365">
      <w:pPr>
        <w:rPr>
          <w:rStyle w:val="Hiperpovezava"/>
          <w:rFonts w:ascii="Garamond" w:hAnsi="Garamond"/>
        </w:rPr>
      </w:pPr>
    </w:p>
    <w:p w:rsidR="00487365" w:rsidRPr="005370FD" w:rsidRDefault="00487365" w:rsidP="00487365">
      <w:pPr>
        <w:rPr>
          <w:rStyle w:val="Hiperpovezava"/>
          <w:rFonts w:ascii="Garamond" w:hAnsi="Garamond"/>
        </w:rPr>
      </w:pPr>
    </w:p>
    <w:p w:rsidR="00487365" w:rsidRPr="005370FD" w:rsidRDefault="00487365" w:rsidP="00487365">
      <w:pPr>
        <w:rPr>
          <w:rStyle w:val="Hiperpovezava"/>
          <w:rFonts w:ascii="Garamond" w:hAnsi="Garamond"/>
        </w:rPr>
      </w:pPr>
    </w:p>
    <w:p w:rsidR="00487365" w:rsidRPr="005370FD" w:rsidRDefault="00487365" w:rsidP="00487365">
      <w:pPr>
        <w:rPr>
          <w:rFonts w:ascii="Garamond" w:hAnsi="Garamond"/>
          <w:b/>
          <w:color w:val="44546A" w:themeColor="text2"/>
          <w:u w:val="single"/>
        </w:rPr>
      </w:pPr>
    </w:p>
    <w:p w:rsidR="00487365" w:rsidRPr="005370FD" w:rsidRDefault="00487365" w:rsidP="00487365">
      <w:pPr>
        <w:rPr>
          <w:rFonts w:ascii="Garamond" w:hAnsi="Garamond"/>
          <w:color w:val="4472C4" w:themeColor="accent5"/>
        </w:rPr>
      </w:pPr>
    </w:p>
    <w:p w:rsidR="00487365" w:rsidRPr="005370FD" w:rsidRDefault="00487365" w:rsidP="00487365">
      <w:pPr>
        <w:rPr>
          <w:rFonts w:ascii="Garamond" w:hAnsi="Garamond"/>
          <w:color w:val="4472C4" w:themeColor="accent5"/>
        </w:rPr>
      </w:pPr>
    </w:p>
    <w:p w:rsidR="00487365" w:rsidRPr="005370FD" w:rsidRDefault="00487365" w:rsidP="00487365">
      <w:pPr>
        <w:rPr>
          <w:rFonts w:ascii="Garamond" w:hAnsi="Garamond"/>
          <w:color w:val="4472C4" w:themeColor="accent5"/>
        </w:rPr>
      </w:pPr>
    </w:p>
    <w:p w:rsidR="00487365" w:rsidRPr="005370FD" w:rsidRDefault="00487365" w:rsidP="00487365">
      <w:pPr>
        <w:rPr>
          <w:rFonts w:ascii="Garamond" w:hAnsi="Garamond"/>
          <w:color w:val="4472C4" w:themeColor="accent5"/>
        </w:rPr>
      </w:pPr>
    </w:p>
    <w:p w:rsidR="00487365" w:rsidRPr="005370FD" w:rsidRDefault="00487365" w:rsidP="00487365">
      <w:pPr>
        <w:rPr>
          <w:rFonts w:ascii="Garamond" w:hAnsi="Garamond"/>
        </w:rPr>
      </w:pPr>
    </w:p>
    <w:p w:rsidR="0037204B" w:rsidRPr="005370FD" w:rsidRDefault="0037204B" w:rsidP="00487365">
      <w:pPr>
        <w:rPr>
          <w:rFonts w:ascii="Garamond" w:hAnsi="Garamond"/>
          <w:color w:val="44546A" w:themeColor="text2"/>
        </w:rPr>
      </w:pPr>
    </w:p>
    <w:p w:rsidR="0037204B" w:rsidRPr="005370FD" w:rsidRDefault="0037204B" w:rsidP="0037204B">
      <w:pPr>
        <w:rPr>
          <w:rFonts w:ascii="Garamond" w:hAnsi="Garamond"/>
          <w:color w:val="4472C4" w:themeColor="accent5"/>
        </w:rPr>
      </w:pPr>
    </w:p>
    <w:p w:rsidR="00905D43" w:rsidRPr="005370FD" w:rsidRDefault="00905D43">
      <w:pPr>
        <w:rPr>
          <w:rFonts w:ascii="Garamond" w:hAnsi="Garamond"/>
        </w:rPr>
      </w:pPr>
    </w:p>
    <w:sectPr w:rsidR="00905D43" w:rsidRPr="005370FD" w:rsidSect="005370F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0FB"/>
    <w:multiLevelType w:val="hybridMultilevel"/>
    <w:tmpl w:val="76F65180"/>
    <w:lvl w:ilvl="0" w:tplc="908A6E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94FF8"/>
    <w:multiLevelType w:val="hybridMultilevel"/>
    <w:tmpl w:val="3FA63A38"/>
    <w:lvl w:ilvl="0" w:tplc="DB40D000">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666482"/>
    <w:multiLevelType w:val="hybridMultilevel"/>
    <w:tmpl w:val="9162C682"/>
    <w:lvl w:ilvl="0" w:tplc="D29EA9B8">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B103A4"/>
    <w:multiLevelType w:val="hybridMultilevel"/>
    <w:tmpl w:val="2A26776A"/>
    <w:lvl w:ilvl="0" w:tplc="6810BB9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D6702"/>
    <w:multiLevelType w:val="multilevel"/>
    <w:tmpl w:val="16C030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D15A4"/>
    <w:multiLevelType w:val="hybridMultilevel"/>
    <w:tmpl w:val="18780578"/>
    <w:lvl w:ilvl="0" w:tplc="0630CE3A">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C8519A"/>
    <w:multiLevelType w:val="hybridMultilevel"/>
    <w:tmpl w:val="E59ADBB2"/>
    <w:lvl w:ilvl="0" w:tplc="274AA9D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6028A6"/>
    <w:multiLevelType w:val="hybridMultilevel"/>
    <w:tmpl w:val="7A0476E2"/>
    <w:lvl w:ilvl="0" w:tplc="603085C6">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8" w15:restartNumberingAfterBreak="0">
    <w:nsid w:val="2F520807"/>
    <w:multiLevelType w:val="multilevel"/>
    <w:tmpl w:val="2B60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F2AD1"/>
    <w:multiLevelType w:val="hybridMultilevel"/>
    <w:tmpl w:val="C570E284"/>
    <w:lvl w:ilvl="0" w:tplc="23B68228">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2A7ECA"/>
    <w:multiLevelType w:val="hybridMultilevel"/>
    <w:tmpl w:val="9F980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1A1A34"/>
    <w:multiLevelType w:val="hybridMultilevel"/>
    <w:tmpl w:val="155CEBB0"/>
    <w:lvl w:ilvl="0" w:tplc="CC186910">
      <w:numFmt w:val="bullet"/>
      <w:lvlText w:val="-"/>
      <w:lvlJc w:val="left"/>
      <w:pPr>
        <w:ind w:left="720" w:hanging="360"/>
      </w:pPr>
      <w:rPr>
        <w:rFonts w:ascii="Calibri" w:eastAsiaTheme="minorHAnsi" w:hAnsi="Calibri" w:cs="Calibri" w:hint="default"/>
        <w:b w:val="0"/>
        <w:color w:val="70AD47" w:themeColor="accent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5"/>
  </w:num>
  <w:num w:numId="6">
    <w:abstractNumId w:val="2"/>
  </w:num>
  <w:num w:numId="7">
    <w:abstractNumId w:val="7"/>
  </w:num>
  <w:num w:numId="8">
    <w:abstractNumId w:val="10"/>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43"/>
    <w:rsid w:val="00000B8F"/>
    <w:rsid w:val="00005750"/>
    <w:rsid w:val="000068FF"/>
    <w:rsid w:val="00046E97"/>
    <w:rsid w:val="00063AD2"/>
    <w:rsid w:val="000A340E"/>
    <w:rsid w:val="000B321B"/>
    <w:rsid w:val="000C03C0"/>
    <w:rsid w:val="000D3AE2"/>
    <w:rsid w:val="000E394F"/>
    <w:rsid w:val="000E6397"/>
    <w:rsid w:val="000F3A21"/>
    <w:rsid w:val="00154AB4"/>
    <w:rsid w:val="00192C4A"/>
    <w:rsid w:val="001A45A5"/>
    <w:rsid w:val="001A4C91"/>
    <w:rsid w:val="001B5A1F"/>
    <w:rsid w:val="001C22AB"/>
    <w:rsid w:val="001D5972"/>
    <w:rsid w:val="001E0C56"/>
    <w:rsid w:val="00207FAE"/>
    <w:rsid w:val="0022320A"/>
    <w:rsid w:val="00243C30"/>
    <w:rsid w:val="00253091"/>
    <w:rsid w:val="00263972"/>
    <w:rsid w:val="00273706"/>
    <w:rsid w:val="002839B7"/>
    <w:rsid w:val="0029147B"/>
    <w:rsid w:val="00297F3B"/>
    <w:rsid w:val="002A6FC7"/>
    <w:rsid w:val="002E5774"/>
    <w:rsid w:val="002F706C"/>
    <w:rsid w:val="003115EC"/>
    <w:rsid w:val="00352E12"/>
    <w:rsid w:val="0037204B"/>
    <w:rsid w:val="003802F7"/>
    <w:rsid w:val="003B121D"/>
    <w:rsid w:val="003D190C"/>
    <w:rsid w:val="003D539E"/>
    <w:rsid w:val="003E0F44"/>
    <w:rsid w:val="003E109A"/>
    <w:rsid w:val="003F4FA4"/>
    <w:rsid w:val="00407459"/>
    <w:rsid w:val="00407ADE"/>
    <w:rsid w:val="00410429"/>
    <w:rsid w:val="00420EC8"/>
    <w:rsid w:val="0042640D"/>
    <w:rsid w:val="00436555"/>
    <w:rsid w:val="004372EC"/>
    <w:rsid w:val="004627D6"/>
    <w:rsid w:val="00471C6D"/>
    <w:rsid w:val="00487365"/>
    <w:rsid w:val="00493CBC"/>
    <w:rsid w:val="004A2313"/>
    <w:rsid w:val="004C177E"/>
    <w:rsid w:val="004D5408"/>
    <w:rsid w:val="004E5AB0"/>
    <w:rsid w:val="00520FCE"/>
    <w:rsid w:val="00530EFE"/>
    <w:rsid w:val="005370FD"/>
    <w:rsid w:val="00544A7B"/>
    <w:rsid w:val="00545E03"/>
    <w:rsid w:val="005663C5"/>
    <w:rsid w:val="00573C98"/>
    <w:rsid w:val="00576488"/>
    <w:rsid w:val="00593924"/>
    <w:rsid w:val="005B03B5"/>
    <w:rsid w:val="005D2CC9"/>
    <w:rsid w:val="005D446E"/>
    <w:rsid w:val="005F33AF"/>
    <w:rsid w:val="00605971"/>
    <w:rsid w:val="00611C39"/>
    <w:rsid w:val="00613133"/>
    <w:rsid w:val="006655A8"/>
    <w:rsid w:val="00674D1A"/>
    <w:rsid w:val="0068109B"/>
    <w:rsid w:val="006A7EDA"/>
    <w:rsid w:val="006B5DE5"/>
    <w:rsid w:val="006D36D3"/>
    <w:rsid w:val="006E0CBC"/>
    <w:rsid w:val="006E4929"/>
    <w:rsid w:val="006E4BCC"/>
    <w:rsid w:val="006F133D"/>
    <w:rsid w:val="006F22FA"/>
    <w:rsid w:val="007113A0"/>
    <w:rsid w:val="007178CD"/>
    <w:rsid w:val="00731521"/>
    <w:rsid w:val="00743405"/>
    <w:rsid w:val="007455BF"/>
    <w:rsid w:val="00792E81"/>
    <w:rsid w:val="0079431B"/>
    <w:rsid w:val="007A6DEE"/>
    <w:rsid w:val="007B22A4"/>
    <w:rsid w:val="007B5F32"/>
    <w:rsid w:val="007C4022"/>
    <w:rsid w:val="00847ECE"/>
    <w:rsid w:val="00864443"/>
    <w:rsid w:val="00892610"/>
    <w:rsid w:val="00895098"/>
    <w:rsid w:val="008962F2"/>
    <w:rsid w:val="008A02C0"/>
    <w:rsid w:val="008B7D60"/>
    <w:rsid w:val="008E0979"/>
    <w:rsid w:val="00900231"/>
    <w:rsid w:val="0090387A"/>
    <w:rsid w:val="00905D43"/>
    <w:rsid w:val="00910F7E"/>
    <w:rsid w:val="00934F11"/>
    <w:rsid w:val="00936877"/>
    <w:rsid w:val="00941962"/>
    <w:rsid w:val="00943A8F"/>
    <w:rsid w:val="009552CF"/>
    <w:rsid w:val="009A3E4F"/>
    <w:rsid w:val="009C0718"/>
    <w:rsid w:val="009E5FD5"/>
    <w:rsid w:val="009F02D5"/>
    <w:rsid w:val="00A0711D"/>
    <w:rsid w:val="00A2146F"/>
    <w:rsid w:val="00A22E07"/>
    <w:rsid w:val="00A6151E"/>
    <w:rsid w:val="00A71CE5"/>
    <w:rsid w:val="00AD594A"/>
    <w:rsid w:val="00AD6600"/>
    <w:rsid w:val="00AF2F03"/>
    <w:rsid w:val="00B04C7D"/>
    <w:rsid w:val="00B11A64"/>
    <w:rsid w:val="00B373B4"/>
    <w:rsid w:val="00B3773A"/>
    <w:rsid w:val="00B41F25"/>
    <w:rsid w:val="00B50586"/>
    <w:rsid w:val="00B55D96"/>
    <w:rsid w:val="00B629F6"/>
    <w:rsid w:val="00B709BF"/>
    <w:rsid w:val="00B71F00"/>
    <w:rsid w:val="00B945C9"/>
    <w:rsid w:val="00BD0575"/>
    <w:rsid w:val="00BE78C5"/>
    <w:rsid w:val="00C13193"/>
    <w:rsid w:val="00C35D79"/>
    <w:rsid w:val="00C54497"/>
    <w:rsid w:val="00C72F52"/>
    <w:rsid w:val="00C86BDB"/>
    <w:rsid w:val="00CB0C86"/>
    <w:rsid w:val="00CF34B6"/>
    <w:rsid w:val="00D212DB"/>
    <w:rsid w:val="00D62729"/>
    <w:rsid w:val="00D75EAD"/>
    <w:rsid w:val="00D80294"/>
    <w:rsid w:val="00D80845"/>
    <w:rsid w:val="00DA70A6"/>
    <w:rsid w:val="00DC7382"/>
    <w:rsid w:val="00DD3336"/>
    <w:rsid w:val="00DE2A01"/>
    <w:rsid w:val="00DF5EB5"/>
    <w:rsid w:val="00DF7001"/>
    <w:rsid w:val="00E04BB7"/>
    <w:rsid w:val="00E13927"/>
    <w:rsid w:val="00E24AA3"/>
    <w:rsid w:val="00E33BA3"/>
    <w:rsid w:val="00E90E8F"/>
    <w:rsid w:val="00E92923"/>
    <w:rsid w:val="00E95233"/>
    <w:rsid w:val="00EB363B"/>
    <w:rsid w:val="00EB7F82"/>
    <w:rsid w:val="00ED2A87"/>
    <w:rsid w:val="00F078A3"/>
    <w:rsid w:val="00F42D73"/>
    <w:rsid w:val="00F77F9B"/>
    <w:rsid w:val="00FB279D"/>
    <w:rsid w:val="00FD28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B2371-601B-4F7E-8E7D-465E7613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5D43"/>
    <w:pPr>
      <w:ind w:left="720"/>
      <w:contextualSpacing/>
    </w:pPr>
  </w:style>
  <w:style w:type="character" w:styleId="Hiperpovezava">
    <w:name w:val="Hyperlink"/>
    <w:basedOn w:val="Privzetapisavaodstavka"/>
    <w:uiPriority w:val="99"/>
    <w:unhideWhenUsed/>
    <w:rsid w:val="00487365"/>
    <w:rPr>
      <w:color w:val="0563C1" w:themeColor="hyperlink"/>
      <w:u w:val="single"/>
    </w:rPr>
  </w:style>
  <w:style w:type="paragraph" w:styleId="Navadensplet">
    <w:name w:val="Normal (Web)"/>
    <w:basedOn w:val="Navaden"/>
    <w:uiPriority w:val="99"/>
    <w:unhideWhenUsed/>
    <w:rsid w:val="00487365"/>
    <w:pPr>
      <w:spacing w:after="0" w:line="240" w:lineRule="auto"/>
    </w:pPr>
    <w:rPr>
      <w:rFonts w:ascii="Times New Roman" w:eastAsia="Calibri" w:hAnsi="Times New Roman" w:cs="Times New Roman"/>
      <w:sz w:val="24"/>
      <w:szCs w:val="24"/>
      <w:lang w:eastAsia="sl-SI"/>
    </w:rPr>
  </w:style>
  <w:style w:type="paragraph" w:styleId="Brezrazmikov">
    <w:name w:val="No Spacing"/>
    <w:uiPriority w:val="1"/>
    <w:qFormat/>
    <w:rsid w:val="00487365"/>
    <w:pPr>
      <w:spacing w:after="0" w:line="240" w:lineRule="auto"/>
    </w:pPr>
  </w:style>
  <w:style w:type="paragraph" w:styleId="Golobesedilo">
    <w:name w:val="Plain Text"/>
    <w:basedOn w:val="Navaden"/>
    <w:link w:val="GolobesediloZnak"/>
    <w:uiPriority w:val="99"/>
    <w:semiHidden/>
    <w:unhideWhenUsed/>
    <w:rsid w:val="00487365"/>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487365"/>
    <w:rPr>
      <w:rFonts w:ascii="Calibri" w:hAnsi="Calibri"/>
      <w:szCs w:val="21"/>
    </w:rPr>
  </w:style>
  <w:style w:type="character" w:styleId="Krepko">
    <w:name w:val="Strong"/>
    <w:basedOn w:val="Privzetapisavaodstavka"/>
    <w:uiPriority w:val="22"/>
    <w:qFormat/>
    <w:rsid w:val="00487365"/>
    <w:rPr>
      <w:b/>
      <w:bCs/>
    </w:rPr>
  </w:style>
  <w:style w:type="character" w:styleId="Poudarek">
    <w:name w:val="Emphasis"/>
    <w:basedOn w:val="Privzetapisavaodstavka"/>
    <w:uiPriority w:val="20"/>
    <w:qFormat/>
    <w:rsid w:val="00487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regije/obmocna-enota-koper" TargetMode="External"/><Relationship Id="rId13" Type="http://schemas.openxmlformats.org/officeDocument/2006/relationships/hyperlink" Target="https://www.nijz.si/sl/regije/obmocna-enota-nova-gorica" TargetMode="External"/><Relationship Id="rId3" Type="http://schemas.openxmlformats.org/officeDocument/2006/relationships/settings" Target="settings.xml"/><Relationship Id="rId7" Type="http://schemas.openxmlformats.org/officeDocument/2006/relationships/hyperlink" Target="https://www.nijz.si/sl/regije/obmocna-enota-celje" TargetMode="External"/><Relationship Id="rId12" Type="http://schemas.openxmlformats.org/officeDocument/2006/relationships/hyperlink" Target="https://www.nijz.si/sl/regije/obmocna-enota-novo-mes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ijz.si/" TargetMode="External"/><Relationship Id="rId11" Type="http://schemas.openxmlformats.org/officeDocument/2006/relationships/hyperlink" Target="https://www.nijz.si/sl/regije/obmocna-enota-ravne-na-koroskem" TargetMode="External"/><Relationship Id="rId5" Type="http://schemas.openxmlformats.org/officeDocument/2006/relationships/hyperlink" Target="https://www.gov.si/teme/koronavirus/" TargetMode="External"/><Relationship Id="rId15" Type="http://schemas.openxmlformats.org/officeDocument/2006/relationships/hyperlink" Target="https://www.nijz.si/sl/regije/obmocna-enota-maribor" TargetMode="External"/><Relationship Id="rId10" Type="http://schemas.openxmlformats.org/officeDocument/2006/relationships/hyperlink" Target="https://www.nijz.si/sl/regije/obmocna-enota-ljubljana" TargetMode="External"/><Relationship Id="rId4" Type="http://schemas.openxmlformats.org/officeDocument/2006/relationships/webSettings" Target="webSettings.xml"/><Relationship Id="rId9" Type="http://schemas.openxmlformats.org/officeDocument/2006/relationships/hyperlink" Target="https://www.nijz.si/sl/regije/obmocna-enota-kranj" TargetMode="External"/><Relationship Id="rId14" Type="http://schemas.openxmlformats.org/officeDocument/2006/relationships/hyperlink" Target="https://www.nijz.si/sl/regije/obmocna-enota-murska-sobo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Nina</dc:creator>
  <cp:keywords/>
  <dc:description/>
  <cp:lastModifiedBy>Podlipnik, Nina</cp:lastModifiedBy>
  <cp:revision>3</cp:revision>
  <dcterms:created xsi:type="dcterms:W3CDTF">2020-03-09T14:55:00Z</dcterms:created>
  <dcterms:modified xsi:type="dcterms:W3CDTF">2020-03-09T15:03:00Z</dcterms:modified>
</cp:coreProperties>
</file>