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 xml:space="preserve">Podatki študijskega programa Glasbena pedagogika</w:t>
      </w:r>
    </w:p>
    <w:p>
      <w:r>
        <w:t xml:space="preserve">Verzija (veljavna od): </w:t>
      </w:r>
      <w:r>
        <w:t xml:space="preserve">2023-2</w:t>
      </w:r>
      <w:r>
        <w:t xml:space="preserve"> (01. 10. 2023)</w:t>
      </w:r>
    </w:p>
    <w:p>
      <w:pPr>
        <w:pStyle w:val="Heading2"/>
      </w:pPr>
      <w:r>
        <w:t xml:space="preserve">Osnovni podatki</w:t>
      </w:r>
    </w:p>
    <w:tbl>
      <w:tblPr>
        <w:tblStyle w:val="PlainTable"/>
        <w:tblW w:w="0" w:type="auto"/>
      </w:tblPr>
      <w:tblGrid>
        <w:gridCol/>
        <w:gridCol/>
      </w:tblGrid>
      <w:tr>
        <w:tc>
          <w:tcPr>
            <w:rStyle w:val="PlainTable"/>
          </w:tcPr>
          <w:p>
            <w:r>
              <w:rPr>
                <w:rStyle w:val="PlainTable"/>
              </w:rPr>
              <w:t xml:space="preserve">Ime programa</w:t>
            </w:r>
          </w:p>
        </w:tc>
        <w:tc>
          <w:tcPr>
            <w:rStyle w:val="PlainTable"/>
          </w:tcPr>
          <w:p>
            <w:r>
              <w:rPr>
                <w:rStyle w:val="PlainTable"/>
                <w:b/>
              </w:rPr>
              <w:t xml:space="preserve">Glasbena pedagogika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Lastnosti programa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pedagoški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Vrsta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univerzitetni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Stopnja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prva stopnja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KLASIUS-SRV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Visokošolsko univerzitetno izobraževanje (prva bolonjska stopnja)/visokošolska univerzitetna izobrazba (prva bolonjska stopnja) (16204)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ISCED</w:t>
            </w:r>
          </w:p>
        </w:tc>
        <w:tc>
          <w:tcPr>
            <w:rStyle w:val="PlainTable"/>
          </w:tcPr>
          <w:p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</w:pPr>
            <w:r>
              <w:rPr>
                <w:rStyle w:val="PlainTable"/>
              </w:rPr>
              <w:t xml:space="preserve">izobraževanje učiteljev in pedagoške vede (14)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KLASIUS-P</w:t>
            </w:r>
          </w:p>
        </w:tc>
        <w:tc>
          <w:tcPr>
            <w:rStyle w:val="PlainTable"/>
          </w:tcPr>
          <w:p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</w:pPr>
            <w:r>
              <w:rPr>
                <w:rStyle w:val="PlainTable"/>
              </w:rPr>
              <w:t xml:space="preserve">Izobraževanje učiteljev za poučevanje umetniških predmetov (glasba, likovni pouk) (1461)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KLASIUS-P-16</w:t>
            </w:r>
          </w:p>
        </w:tc>
        <w:tc>
          <w:tcPr>
            <w:rStyle w:val="PlainTable"/>
          </w:tcPr>
          <w:p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</w:pPr>
            <w:r>
              <w:rPr>
                <w:rStyle w:val="PlainTable"/>
              </w:rPr>
              <w:t xml:space="preserve">Izobraževanje učiteljev s predmetno specializacijo (0114)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Frascati</w:t>
            </w:r>
          </w:p>
        </w:tc>
        <w:tc>
          <w:tcPr>
            <w:rStyle w:val="PlainTable"/>
          </w:tcPr>
          <w:p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rPr>
                <w:rStyle w:val="PlainTable"/>
              </w:rPr>
              <w:t xml:space="preserve">Družboslovne vede (5)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rPr>
                <w:rStyle w:val="PlainTable"/>
              </w:rPr>
              <w:t xml:space="preserve">Druge vede (7)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Raven SOK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Raven SOK 7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Raven EOK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Raven EOK 6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Raven EOVK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Prva stopnja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Področja/moduli/smeri</w:t>
            </w:r>
          </w:p>
        </w:tc>
        <w:tc>
          <w:tcPr>
            <w:rStyle w:val="PlainTable"/>
          </w:tcPr>
          <w:p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</w:pPr>
            <w:r>
              <w:rPr>
                <w:rStyle w:val="PlainTable"/>
              </w:rPr>
              <w:t xml:space="preserve">Ni členitve (študijski program)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Članice Univerze v Ljubljani</w:t>
            </w:r>
          </w:p>
        </w:tc>
        <w:tc>
          <w:tcPr>
            <w:rStyle w:val="PlainTable"/>
          </w:tcPr>
          <w:p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</w:pPr>
            <w:r>
              <w:rPr>
                <w:rStyle w:val="PlainTable"/>
              </w:rPr>
              <w:t xml:space="preserve">Akademija za glasbo, Stari trg 34, 1000 Ljubljana, Slovenija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Trajanje (leta)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Število KT na letnik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Načini izvajanja študija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redni, izredni</w:t>
            </w:r>
          </w:p>
        </w:tc>
      </w:tr>
    </w:tbl>
    <w:p>
      <w:pPr>
        <w:pStyle w:val="Heading2"/>
      </w:pPr>
      <w:r>
        <w:t xml:space="preserve">Temeljni cilji programa</w:t>
      </w:r>
    </w:p>
    <w:p>
      <w:r>
        <w:t xml:space="preserve"> Temeljni cilj prvostopenjskega programa glasbena pedagogika je usposobiti študenta za načrtovanje in izvajanje glasbene vzgoje in zborovskega petja na osnovnošolski in srednješolski ravni splošnega izobraževanja ter programov na predšolski ravni v glasbenem šolstvu pod mentorstvom učitelja. Prav tako ga usposablja za načrtovanje in izvajanje programov za druge ciljne skupine na področju neformalnega izobraževanja ter za sodelovanje v timskem delu z učitelji, starši in drugimi strokovnimi delavci. Z uspešno zaključenim programom je diplomant usposobljen za nadaljevanje študija na drugostopenjskem magistrskem programu glasbene pedagogike, s katerim pridobi kompetence za samostojno opravljanje poklica učitelja glasbe v splošnem šolstvu (osnovna šola, srednja šola) in v glasbenem šolstvu (programi na predšolski stopnji, predmeta nauk o glasbi in solfeggio v glasbeni šoli). Pridobljene kompetence mu omogočajo tudi sodelovanje v profesionalnih kulturnih ustanovah (organizacija in vodenje glasbeno-kulturnih dogodkov), na področju glasbeno-amaterskih dejavnosti (zborovodstvo, glasbena animacija, vodenje glasbenih dejavnosti) in v medijih (delovanje v uredništvih in redakcijah različnih medijev v povezavi z glasbo in glasbenim izobraževanjem).</w:t>
      </w:r>
    </w:p>
    <w:p>
      <w:pPr>
        <w:pStyle w:val="Heading2"/>
      </w:pPr>
      <w:r>
        <w:t xml:space="preserve">Splošne kompetence (učni izidi)</w:t>
      </w:r>
    </w:p>
    <w:p>
      <w:r>
        <w:t xml:space="preserve">- Poglobljeno sintetično, analitično, ustvarjalno mišljenje in reševanje problemov, fleksibilna uporaba znanja v praksi,</w:t>
      </w:r>
      <w:r>
        <w:br/>
      </w:r>
      <w:r>
        <w:t xml:space="preserve">- avtonomnost, (samo)kritičnost, (samo)refleksivnost, (samo)evalviranje in prizadevanje za kakovost,</w:t>
      </w:r>
      <w:r>
        <w:br/>
      </w:r>
      <w:r>
        <w:t xml:space="preserve"> - splošna razgledanost, sposobnost komuniciranja s strokovnjaki drugih strokovnih in znanstvenih področij,</w:t>
      </w:r>
      <w:r>
        <w:br/>
      </w:r>
      <w:r>
        <w:t xml:space="preserve"> - iniciativnost/ambicioznost, vrednota stalnega osebnega napredovanja in strokovnega izpopolnjevanja,</w:t>
      </w:r>
      <w:r>
        <w:br/>
      </w:r>
      <w:r>
        <w:t xml:space="preserve"> - organizacijske in vodstvene sposobnosti in spretnosti,</w:t>
      </w:r>
      <w:r>
        <w:br/>
      </w:r>
      <w:r>
        <w:t xml:space="preserve">- občutljivost (osveščenost) za naravno in družbeno okolje, nacionalno kulturo, dediščino, identiteto, multikulturnost in nediskriminativnost,</w:t>
      </w:r>
      <w:r>
        <w:br/>
      </w:r>
      <w:r>
        <w:t xml:space="preserve">- informacijska pismenost, uporaba IKT v vzgoji in izobraževanju,</w:t>
      </w:r>
      <w:r>
        <w:br/>
      </w:r>
      <w:r>
        <w:t xml:space="preserve">- sposobnost za upravljanje s časom, za samostojno načrtovanje, samokontrola izvajanja načrtov.</w:t>
      </w:r>
    </w:p>
    <w:p>
      <w:pPr>
        <w:pStyle w:val="Heading2"/>
      </w:pPr>
      <w:r>
        <w:t xml:space="preserve">Predmetnospecifične kompetence (učni izidi)</w:t>
      </w:r>
    </w:p>
    <w:p>
      <w:r>
        <w:t xml:space="preserve">- Poglobljeno poznavanje, razumevanje in uporaba sodobnega glasbeno-didaktične filozofije in uveljavljenih glasbeno-didaktičnih konceptov v splošnem in glasbenem šolstvu,</w:t>
      </w:r>
      <w:r>
        <w:br/>
      </w:r>
      <w:r>
        <w:t xml:space="preserve">- poglobljeno razumevanje in aplikativna uporaba splošnih kurikularnih teorij ter občih didaktičnih, pedagoško-andragoških in psiholoških znanj, sposobnosti in spretnosti v formalnih in neformalnih oblikah glasbene vzgoje in izobraževanja,</w:t>
      </w:r>
      <w:r>
        <w:br/>
      </w:r>
      <w:r>
        <w:t xml:space="preserve">- poglobljeno poznavanje, razumevanje in uporaba kurikulumov za področje osnovnošolske in srednješolske glasbene vzgoje ter za področje predšolske glasbene vzgoje, nauka o glasbi in solfeggia v glasbeni šoli,</w:t>
      </w:r>
      <w:r>
        <w:br/>
      </w:r>
      <w:r>
        <w:t xml:space="preserve">- poglobljeno poznavanje, razumevanje in uporaba kurikuluma za šolske pevske zbore,</w:t>
      </w:r>
      <w:r>
        <w:br/>
      </w:r>
      <w:r>
        <w:t xml:space="preserve">- interdisciplinarno povezovanje vsebin,</w:t>
      </w:r>
      <w:r>
        <w:br/>
      </w:r>
      <w:r>
        <w:t xml:space="preserve">- razvoj akcijskega raziskovanja na področju uporabe didaktičnih gradiv in glasbenega repertoarja,</w:t>
      </w:r>
      <w:r>
        <w:br/>
      </w:r>
      <w:r>
        <w:t xml:space="preserve">- pedagoško vodenje razreda,</w:t>
      </w:r>
      <w:r>
        <w:br/>
      </w:r>
      <w:r>
        <w:t xml:space="preserve">- organiziranje aktivnega in samostojnega učenja,</w:t>
      </w:r>
      <w:r>
        <w:br/>
      </w:r>
      <w:r>
        <w:t xml:space="preserve">- samostojno vrednotenje dosežkov učencev/dijakov na glasbenem področju,</w:t>
      </w:r>
      <w:r>
        <w:br/>
      </w:r>
      <w:r>
        <w:t xml:space="preserve">- samostojno vrednotenje poustvarjalne dejavnosti šolskih pevskih zborov,</w:t>
      </w:r>
      <w:r>
        <w:br/>
      </w:r>
      <w:r>
        <w:t xml:space="preserve">- prilagajanje glasbenih dejavnosti in učno vzgojnih pristopov glede na individualno, socialno in kulturno različnost,</w:t>
      </w:r>
      <w:r>
        <w:br/>
      </w:r>
      <w:r>
        <w:t xml:space="preserve">- oblikovanje poklicne samopodobe bodočega učitelja kot dinamičnega in kreativnega zastopnika glasbe,</w:t>
      </w:r>
      <w:r>
        <w:br/>
      </w:r>
      <w:r>
        <w:t xml:space="preserve">- uzaveščanje estetske občutljivosti za kakovostno zvočno okolje,</w:t>
      </w:r>
      <w:r>
        <w:br/>
      </w:r>
      <w:r>
        <w:t xml:space="preserve">- poglobljeno poznavanje, razumevanje in uporaba glasbeno strokovnih znanj, sposobnosti in spretnosti s področja šolskega zborovodstva,</w:t>
      </w:r>
      <w:r>
        <w:br/>
      </w:r>
      <w:r>
        <w:t xml:space="preserve">- poglobljeno poznavanje repertoarja za šolske pevske zbore,</w:t>
      </w:r>
      <w:r>
        <w:br/>
      </w:r>
      <w:r>
        <w:t xml:space="preserve">- sposobnost umetniškega izražanja na zborovskem področju,</w:t>
      </w:r>
      <w:r>
        <w:br/>
      </w:r>
      <w:r>
        <w:t xml:space="preserve">- uzaveščanje fenomena glasbe in njene raznolike manifestivnosti,</w:t>
      </w:r>
      <w:r>
        <w:br/>
      </w:r>
      <w:r>
        <w:t xml:space="preserve">- poglobljeno razumevanje glasbe v njenih umetniških, znanstvenih in tehničnih domenah,</w:t>
      </w:r>
      <w:r>
        <w:br/>
      </w:r>
      <w:r>
        <w:t xml:space="preserve">- uzaveščanje glasbenega jezika ob dinamični in kreativni uporabi glasbene teorije, zgodovine in reproduktivnih področij,</w:t>
      </w:r>
      <w:r>
        <w:br/>
      </w:r>
      <w:r>
        <w:t xml:space="preserve">- poznavanje, razumevanje in uporaba glasbeno-teoretičnih in oblikovnih znanj,</w:t>
      </w:r>
      <w:r>
        <w:br/>
      </w:r>
      <w:r>
        <w:t xml:space="preserve">- razvoj slušnih in glasbeno-bralnih veščin ter glasbenega spomina,</w:t>
      </w:r>
      <w:r>
        <w:br/>
      </w:r>
      <w:r>
        <w:t xml:space="preserve">- poznavanje, razumevanje svetovne in slovenske glasbene zgodovine,</w:t>
      </w:r>
      <w:r>
        <w:br/>
      </w:r>
      <w:r>
        <w:t xml:space="preserve">- poznavanje, razumevanje in vrednotenje glasbenih del iz svetovne in slovenske glasbene literature,</w:t>
      </w:r>
      <w:r>
        <w:br/>
      </w:r>
      <w:r>
        <w:t xml:space="preserve">- razvoj širokih možnosti funkcionalne uporabe reproduktivnih predmetov pri glasbenih dejavnostih v formalnem izobraževanju in drugih oblikah glasbenega udejstvovanja,</w:t>
      </w:r>
      <w:r>
        <w:br/>
      </w:r>
      <w:r>
        <w:t xml:space="preserve">- sposobnost individualnega in skupinskega muziciranja,</w:t>
      </w:r>
      <w:r>
        <w:br/>
      </w:r>
      <w:r>
        <w:t xml:space="preserve">- razvoj muzikalne samostojnosti,</w:t>
      </w:r>
      <w:r>
        <w:br/>
      </w:r>
      <w:r>
        <w:t xml:space="preserve">- uzaveščanje vrednot slovenske in svetovne glasbene kulture,poznavanje, razumevanje in uporaba različnih metod evalvacije glasbenih dosežkov.</w:t>
      </w:r>
    </w:p>
    <w:p>
      <w:pPr>
        <w:pStyle w:val="Heading2"/>
      </w:pPr>
      <w:r>
        <w:t xml:space="preserve">Pogoji za vpis</w:t>
      </w:r>
    </w:p>
    <w:p>
      <w:r>
        <w:t xml:space="preserve">V prvostopenjski univerzitetni študijski program Glasbena pedagogika se lahko vpiše:</w:t>
      </w:r>
      <w:r>
        <w:br/>
      </w:r>
      <w:r>
        <w:t xml:space="preserve">a) kdor je opravil splošno maturo,</w:t>
      </w:r>
      <w:r>
        <w:br/>
      </w:r>
      <w:r>
        <w:t xml:space="preserve">b) kdor je opravil poklicno maturo v programih srednjega strokovnega izobraževanja oziroma tehniškega</w:t>
      </w:r>
      <w:r>
        <w:br/>
      </w:r>
      <w:r>
        <w:t xml:space="preserve">izobraževanja: aranžerski tehnik, ekonomski tehnik, ekonomski tehnik (gibalno ovirani, slepi in slabovidni),</w:t>
      </w:r>
      <w:r>
        <w:br/>
      </w:r>
      <w:r>
        <w:t xml:space="preserve">fotografski tehnik, gastronomija, gastronomski tehnik, gastronomija in turizem, gastronomija in turizem (slepi in slabovidni), gastronomsko-turistični tehnik, geodetski tehnik, grafični tehnik, kmetijsko-podjetniški tehnik, logistični tehnik, medijski tehnik, plovbni tehnik, predšolska vzgoja, tehnik oblikovanja, tehnik steklarstva, tehnik varovanja, ustvarjalec modnih oblačil in izpit iz splošne mature iz predmeta glasba,</w:t>
      </w:r>
      <w:r>
        <w:br/>
      </w:r>
      <w:r>
        <w:t xml:space="preserve">c) kdor je pred 1. 6. 1995 končal katerikoli štiriletni srednješolski program.</w:t>
      </w:r>
    </w:p>
    <w:p>
      <w:pPr>
        <w:pStyle w:val="Heading2"/>
      </w:pPr>
      <w:r>
        <w:t xml:space="preserve">Merila za izbiro ob omejitvi vpisa</w:t>
      </w:r>
    </w:p>
    <w:p>
      <w:r>
        <w:t xml:space="preserve">Če bo sprejet sklep o omejitvi vpisa, bodo</w:t>
      </w:r>
      <w:r>
        <w:br/>
      </w:r>
      <w:r>
        <w:t xml:space="preserve">kandidati iz točk a) in c) izbrani glede na:</w:t>
      </w:r>
      <w:r>
        <w:br/>
      </w:r>
      <w:r>
        <w:t xml:space="preserve">− uspeh pri sprejemnem preizkusu 80 % točk,</w:t>
      </w:r>
      <w:r>
        <w:br/>
      </w:r>
      <w:r>
        <w:t xml:space="preserve">− splošni uspeh pri splošni maturi oziroma zaključnem izpitu 15 % točk,</w:t>
      </w:r>
      <w:r>
        <w:br/>
      </w:r>
      <w:r>
        <w:t xml:space="preserve">− splošni uspeh v 3. in 4. letniku 5 % točk;</w:t>
      </w:r>
      <w:r>
        <w:br/>
      </w:r>
      <w:r>
        <w:t xml:space="preserve">kandidati iz točke b) izbrani glede na:</w:t>
      </w:r>
      <w:r>
        <w:br/>
      </w:r>
      <w:r>
        <w:t xml:space="preserve">− uspeh pri sprejemnem preizkusu 80 % točk,</w:t>
      </w:r>
      <w:r>
        <w:br/>
      </w:r>
      <w:r>
        <w:t xml:space="preserve">− splošni uspeh pri poklicni maturi 5 % točk,</w:t>
      </w:r>
      <w:r>
        <w:br/>
      </w:r>
      <w:r>
        <w:t xml:space="preserve">− splošni uspeh v 3. in 4. letniku 5 % točk,</w:t>
      </w:r>
      <w:r>
        <w:br/>
      </w:r>
      <w:r>
        <w:t xml:space="preserve">− uspeh pri predmetu splošne mature glasba 10 % točk.</w:t>
      </w:r>
    </w:p>
    <w:p>
      <w:pPr>
        <w:pStyle w:val="Heading2"/>
      </w:pPr>
      <w:r>
        <w:t xml:space="preserve">Merila za priznavanje znanja in spretnosti, pridobljenih pred vpisom v program</w:t>
      </w:r>
    </w:p>
    <w:p>
      <w:r>
        <w:t xml:space="preserve">Študijske obveznosti se priznajo na osnovi vloge, ki jo vlagatelj naslovi na Komisijo za študijske zadeve.</w:t>
      </w:r>
      <w:r>
        <w:br/>
      </w:r>
      <w:r>
        <w:t xml:space="preserve"> Merila za priznavanje študijskih obveznosti so naslednja:</w:t>
      </w:r>
      <w:r>
        <w:br/>
      </w:r>
      <w:r>
        <w:t xml:space="preserve">- primerljivost po vsebini s študijskimi obveznostmi vpisanega programa</w:t>
      </w:r>
      <w:r>
        <w:br/>
      </w:r>
      <w:r>
        <w:t xml:space="preserve">- primerljivost po obsegu s študijskimi obveznostmi vpisanega programa</w:t>
      </w:r>
      <w:r>
        <w:br/>
      </w:r>
      <w:r>
        <w:t xml:space="preserve">- primerljivost po kakovosti s študijskimi obveznostmi vpisanega programa</w:t>
      </w:r>
    </w:p>
    <w:p>
      <w:pPr>
        <w:pStyle w:val="Heading2"/>
      </w:pPr>
      <w:r>
        <w:t xml:space="preserve">Načini ocenjevanja</w:t>
      </w:r>
    </w:p>
    <w:p>
      <w:r>
        <w:t xml:space="preserve">Načini ocenjevanja so skladni s </w:t>
      </w:r>
      <w:hyperlink w:history="true" r:id="Rceb1d3b73638469b">
        <w:r>
          <w:rPr>
            <w:rStyle w:val="Hyperlink"/>
          </w:rPr>
          <w:t xml:space="preserve">Statutom UL</w:t>
        </w:r>
      </w:hyperlink>
      <w:r>
        <w:t xml:space="preserve"> in navedeni v učnih načrtih.</w:t>
      </w:r>
    </w:p>
    <w:p>
      <w:pPr>
        <w:pStyle w:val="Heading2"/>
      </w:pPr>
      <w:r>
        <w:t xml:space="preserve">Pogoji za napredovanje po programu</w:t>
      </w:r>
    </w:p>
    <w:p>
      <w:r>
        <w:t xml:space="preserve">• Obveznosti študentov in pogoji za napredovanje iz letnika v letnik:</w:t>
      </w:r>
      <w:r>
        <w:br/>
      </w:r>
      <w:r>
        <w:t xml:space="preserve"> Za napredovanje v 2. letnik dodiplomskega študija mora študent opraviti obveznosti v obsegu 60 ECTS, ki morajo vsebovati vse obveznosti 1. letnika glavnega in vseh obveznih predmetov.</w:t>
      </w:r>
      <w:r>
        <w:br/>
      </w:r>
      <w:r>
        <w:t xml:space="preserve"> Za napredovanje v 3. letnik dodiplomskega študija mora študent opraviti obveznosti v obsegu najmanj 120 ECTS, ki morajo vsebovati vse obveznosti 1. letnika in vse obveznosti 2. letnika.</w:t>
      </w:r>
      <w:r>
        <w:br/>
      </w:r>
      <w:r>
        <w:t xml:space="preserve">Študent, ki vpiše več izbirnih predmetov (glej 3. odstavek), lahko napreduje tudi brez opravljenega 1 obveznega predmeta, če je opravil obveznosti v obsegu 120 ECTS. Študent lahko v 1. ali 2. letniku dodatno vpiše do 20 ECTS obveznih ali izbirnih predmetov višjega letnika, ki niso nadaljevalni obvezni strokovni predmeti iz prejšnjega letnika. Nadaljevalni predmeti so tisti, ki imajo v imenu tudi številko 2 ali višjo (na primer Solfeggio B2 je nadaljevalni predmet Solfeggia B1). Dodatno pridobljene kredite lahko v okviru programa prenese v višji letnik in s tem hitreje napreduje, hkrati pa ima s to možnostjo olajšano in širšo možnost izbirnosti.</w:t>
      </w:r>
      <w:r>
        <w:br/>
      </w:r>
      <w:r>
        <w:t xml:space="preserve">• Pogoji za ponavljanje letnika: Študent mora opraviti vsaj 66 % obveznosti oz. 40 ECTS obveznosti iz letnika, ki ga ponavlja ter vse obveznosti prejšnjih letnikov.</w:t>
      </w:r>
      <w:r>
        <w:br/>
      </w:r>
      <w:r>
        <w:t xml:space="preserve">• Pogoji za podaljšanje študija: Študent lahko študij podaljša pod pogoji, ki jih določa Statut UL (materinstvo, daljša bolezen, izjemne družinske in socialne okoliščine, priznan status osebe s posebnimi potrebami, aktivno sodelovanje na vrhunskih strokovnih, kulturnih in športnih prireditvah, aktivno sodelovanje v organih univerze). Organ, ki odloča o podaljšanju študija je Komisija za študijske zadeve.</w:t>
      </w:r>
      <w:r>
        <w:br/>
      </w:r>
      <w:r>
        <w:t xml:space="preserve">• Svetovanje in usmerjanje: Med študijem ima študent možnost svetovanja in usmerjanja. Za to skrbijo predvsem visokošolskih učitelji pri obveznih strokovnih predmetih, morebitni tutorji in Karierni center Univerze v Ljubljani.</w:t>
      </w:r>
    </w:p>
    <w:p>
      <w:pPr>
        <w:pStyle w:val="Heading2"/>
      </w:pPr>
      <w:r>
        <w:t xml:space="preserve">Pogoji za prehajanje med programi</w:t>
      </w:r>
    </w:p>
    <w:p>
      <w:r>
        <w:t xml:space="preserve">Pri prehodih na program Glasbena pedagogika se upoštevajo naslednja merila:</w:t>
      </w:r>
      <w:r>
        <w:br/>
      </w:r>
      <w:r>
        <w:t xml:space="preserve">- izpolnjevanje pogojev za vpis v študijski program,</w:t>
      </w:r>
      <w:r>
        <w:br/>
      </w:r>
      <w:r>
        <w:t xml:space="preserve">- obseg razpoložljivih študijskih mest.</w:t>
      </w:r>
    </w:p>
    <w:p>
      <w:r>
        <w:t xml:space="preserve"> Na dodiplomski program Glasbena pedagogika lahko kandidati prehajajo le na podlagi opravljenega preizkusa glasbenih sposobnosti in znanj ter pozitivnega mnenja komisije, ki preizkus ocenjuje, o ustreznosti kandidatovega znanja za prehod. V primeru prehoda se za priznavanje do takrat opravljenih študijskih obveznosti upoštevajo naslednja merila:</w:t>
      </w:r>
      <w:r>
        <w:br/>
      </w:r>
      <w:r>
        <w:t xml:space="preserve">- primerljivost po vsebini s študijskimi obveznostmi vpisanega programa</w:t>
      </w:r>
      <w:r>
        <w:br/>
      </w:r>
      <w:r>
        <w:t xml:space="preserve">- primerljivost po obsegu s študijskimi obveznostmi vpisanega programa</w:t>
      </w:r>
      <w:r>
        <w:br/>
      </w:r>
      <w:r>
        <w:t xml:space="preserve">- primerljivost po kakovosti s študijskimi obveznostmi vpisanega programa.</w:t>
      </w:r>
    </w:p>
    <w:p>
      <w:r>
        <w:t xml:space="preserve"> Prehodi so možni s programov za pridobitev univerzitetne izobrazbe, s programov za pridobitev visoke strokovne izobrazbe, s prvostopenjskih bolonjskih programov in z višješolskih programov. Prehod med različnimi študijskimi programi za pridobitev iste stopnje izobrazbe je mogoč, če je kandidatu pri vpisu v novi študijski program mogoče priznati vsaj polovico obveznosti, ki jih je opravil na študijskem programu, s katerega prihaja. O tem odloča senat Akademije za glasbo. Senat lahko kandidatu določi tudi morebitne diferencialne izpite in druge obveznosti.</w:t>
      </w:r>
    </w:p>
    <w:p>
      <w:r>
        <w:t xml:space="preserve"> Pri prehodih se upoštevajo Merila za prehode med študijskimi programi in Statut UL.</w:t>
      </w:r>
    </w:p>
    <w:p>
      <w:pPr>
        <w:pStyle w:val="Heading2"/>
      </w:pPr>
      <w:r>
        <w:t xml:space="preserve">Pogoji za dokončanje študija</w:t>
      </w:r>
    </w:p>
    <w:p>
      <w:r>
        <w:t xml:space="preserve">Za dokončanje dodiplomskega študija mora kandidat opraviti vse obveznosti, ki jih določa študijski program in učni načrti predmetov. Ob dokončanju študija mora imeti študent 180 ECTS opravljenih obveznosti po veljavnem programu</w:t>
      </w:r>
    </w:p>
    <w:p>
      <w:pPr>
        <w:pStyle w:val="Heading2"/>
      </w:pPr>
      <w:r>
        <w:t xml:space="preserve">Pogoji za dokončanje posameznih delov programa, če jih program vsebuje</w:t>
      </w:r>
    </w:p>
    <w:p>
      <w:r>
        <w:t xml:space="preserve">Študij je mogoče zaključiti le v celoti.</w:t>
      </w:r>
    </w:p>
    <w:p>
      <w:pPr>
        <w:pStyle w:val="Heading2"/>
      </w:pPr>
      <w:r>
        <w:t xml:space="preserve">Strokovni oz. znanstveni ali umetniški naslov (moški)</w:t>
      </w:r>
    </w:p>
    <w:p>
      <w:pPr>
        <w:pStyle w:val="ListParagraph"/>
        <w:numPr>
          <w:ilvl w:val="0"/>
          <w:numId w:val="8"/>
        </w:numPr>
        <w:spacing w:after="0"/>
        <w:ind w:left="357" w:hanging="357"/>
      </w:pPr>
      <w:r>
        <w:t xml:space="preserve">profesor glasbe (UN)</w:t>
      </w:r>
    </w:p>
    <w:p>
      <w:pPr>
        <w:pStyle w:val="Heading2"/>
      </w:pPr>
      <w:r>
        <w:t xml:space="preserve">Strokovni oz. znanstveni ali umetniški naslov (ženski)</w:t>
      </w:r>
    </w:p>
    <w:p>
      <w:pPr>
        <w:pStyle w:val="ListParagraph"/>
        <w:numPr>
          <w:ilvl w:val="0"/>
          <w:numId w:val="9"/>
        </w:numPr>
        <w:spacing w:after="0"/>
        <w:ind w:left="357" w:hanging="357"/>
      </w:pPr>
      <w:r>
        <w:t xml:space="preserve">profesorica glasbe (UN)</w:t>
      </w:r>
    </w:p>
    <w:p>
      <w:pPr>
        <w:pStyle w:val="Heading2"/>
      </w:pPr>
      <w:r>
        <w:t xml:space="preserve">Strokovni oz. znanstveni ali umetniški naslov (okrajšava)</w:t>
      </w:r>
    </w:p>
    <w:p>
      <w:pPr>
        <w:pStyle w:val="ListParagraph"/>
        <w:numPr>
          <w:ilvl w:val="0"/>
          <w:numId w:val="10"/>
        </w:numPr>
        <w:spacing w:after="0"/>
        <w:ind w:left="357" w:hanging="357"/>
      </w:pPr>
      <w:r>
        <w:t xml:space="preserve">prof. glas. (UN)</w:t>
      </w:r>
    </w:p>
    <w:p>
      <w:pPr>
        <w:sectPr w:rsidRPr="00615EA0" w:rsidR="00E32890" w:rsidSect="003368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>
      <w:pPr>
        <w:pStyle w:val="Heading1"/>
      </w:pPr>
      <w:r>
        <w:t xml:space="preserve">Predmetnik študijskega programa s predvidenimi nosilkami in nosilci predmetov</w:t>
      </w:r>
    </w:p>
    <w:p>
      <w:pPr>
        <w:pStyle w:val="Heading2"/>
      </w:pPr>
      <w:r>
        <w:t xml:space="preserve">Ni členitve (študijski program)</w:t>
      </w:r>
    </w:p>
    <w:p>
      <w:pPr>
        <w:pStyle w:val="Heading3"/>
      </w:pPr>
      <w:r>
        <w:t xml:space="preserve">1. letnik, obvezni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Kontaktne ure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Šifra UL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Ime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Nosilci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Predavanja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Seminarji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Klinične 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Druge obl. štud.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Samostojno delo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Ure skupaj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Semestri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Izbiren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HARMONIJA C1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David Veber, Dušan Bavdek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0143641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IGRANJE ZBOROVSKIH PARTITUR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Anton Potočnik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0143642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KONTRAPUNKT B1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Andrej Misson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0542186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OBČA GLASBENA DIDAKTIKA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Branka Rotar-Pance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0542187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ORFFOV PRAKTIKUM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Bernarda Rakar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PEDAGOGIKA IN ANDRAGOGIKA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Irena Lesar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0143646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PEDAGOŠKA PRAKSA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Branka Rotar-Pance, Katarina Zadnik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0143647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PSIHOLOGIJA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Habe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0143648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SOLFEGGIO B1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Urška Pompe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0143649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SPECIALNA GLASBENA DIDAKTIKA 1 - GLASBENA VZGOJA ZA NAJMLAJŠE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Branka Rotar-Pance, Katarina Zadnik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VOKALNA TEHNIKA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Pija Brodnik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0620054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ZBOR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Marko Vatovec, Sebastjan Vrhovnik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0143652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ZBOROVSKO DIRIGIRANJE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Marko Vatovec, Sebastjan Vrhovnik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0143653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ZGODOVINA GLASBE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Darja Koter, Jernej Weiss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0148283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A1 / KOMPLEMENTARNI KLAVIR B1 / KOMPLEMENTARNI KLAVIR C1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Skupno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270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1. letnik, obvezni Komplementarni klavir A1 / Komplementarni klavir B1 / Komplementarni klavir C1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Kontaktne ure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Šifra UL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Ime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Nosilci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Predavanja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Seminarji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Klinične 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Druge obl. štud.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Samostojno delo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Ure skupaj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Semestri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Izbiren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0146997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A1 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0146998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B1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0146999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C1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Skupno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270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2. letnik, obvezni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Kontaktne ure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Šifra UL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Ime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Nosilci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Predavanja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Seminarji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Klinične 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Druge obl. štud.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Samostojno delo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Ure skupaj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Semestri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Izbiren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0143654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ANALIZA GLASBENIH OBLIK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Andrej Misson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0143655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HARMONIJA C2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David Veber, Dušan Bavdek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0143656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IGRANJE ZBOROVSKIH PARTITUR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Anton Potočnik, Marko Vatovec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0143657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ORFFOV PRAKTIKUM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Branka Rotar-Pance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0143658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PEDAGOGIKA IN ANDRAGOGIKA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Irena Lesar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0143659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PEDAGOŠKA PRAKSA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Branka Rotar-Pance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85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PSIHOLOGIJA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Habe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0143661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SOLFEGGIO B2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Urška Pompe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0143662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SPECIALNA GLASBENA DIDAKTIKA 2 - GLASBENA VZGOJA V OŠ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Branka Rotar-Pance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0143663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VOKALNA TEHNIKA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Pija Brodnik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0620071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ZBOR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Marko Vatovec, Sebastjan Vrhovnik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0143665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ZBOROVSKO DIRIGIRANJE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Marko Vatovec, Sebastjan Vrhovnik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0143666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ZGODOVINA GLASBE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Darja Koter, Jernej Weiss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0148284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A2 / KOMPLEMENTARNI KLAVIR B2 / KOMPLEMENTARNI KLAVIR C2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0148286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STROKOVNI IZBIRNI PREDMET(I)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Skupno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470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325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2. letnik, obvezni Komplementarni klavir A2 / Komplementarni klavir B2 / Komplementarni klavir C2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Kontaktne ure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Šifra UL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Ime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Nosilci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Predavanja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Seminarji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Klinične 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Druge obl. štud.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Samostojno delo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Ure skupaj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Semestri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Izbiren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0147000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A2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0147001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B2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0147002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C2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Skupno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270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3. letnik, obvezni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Kontaktne ure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Šifra UL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Ime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Nosilci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Predavanja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Seminarji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Klinične 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Druge obl. štud.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Samostojno delo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Ure skupaj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Semestri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Izbiren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0143667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ANALIZA GLASBENIH OBLIK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Andrej Misson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0143668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IGRANJE ZBOROVSKIH PARTITUR 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Anton Potočnik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0143669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IZBRANA POGLAVJA IZ ZGODOVINE GLASBE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Darja Koter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0143670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PEDAGOŠKA PRAKSA 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Branka Rotar-Pance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85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0143671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SOLFEGGIO B3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Urška Pompe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0143672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SPECIALNA GLASBENA DIDAKTIKA 3 - GLASBA V SREDNJEM ŠOLSTVU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Branka Rotar-Pance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0143673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VOKALNA TEHNIKA 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Pija Brodnik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0143674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ZBOR 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Marko Vatovec, Sebastjan Vrhovnik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0143675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ZBOROVSKO DIRIGIRANJE 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Marko Vatovec, Sebastjan Vrhovnik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0148285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A3 / KOMPLEMENTARNI KLAVIR B3 / KOMPLEMENTARNI KLAVIR C3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0148287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STROKOVNI IZBIRNI PREDMET(I)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45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45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8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0148289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SPLOŠNI IZBIRNI PREDMET(I)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Skupno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295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3. letnik, obvezni Komplementarni klavir A3 / Komplementarni klavir B3 / Komplementarni klavir C3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Kontaktne ure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Šifra UL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Ime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Nosilci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Predavanja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Seminarji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Klinične 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Druge obl. štud.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Samostojno delo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Ure skupaj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Semestri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Izbiren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0147003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A3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0147004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B3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0147005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KOMPLEMENTARNI KLAVIR C3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Vesel, Brigita Pavlinc, Marta Kržič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ne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Skupno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180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270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</w:t>
            </w:r>
          </w:p>
        </w:tc>
        <w:tc>
          <w:tcPr>
            <w:gridSpan w:val="2"/>
            <w:rStyle w:val="PlainTable"/>
          </w:tcPr>
          <w:p/>
        </w:tc>
      </w:tr>
    </w:tbl>
    <w:p>
      <w:pPr>
        <w:pStyle w:val="Heading3"/>
      </w:pPr>
      <w:r>
        <w:t xml:space="preserve">Strokovni izbirni predmeti</w:t>
      </w:r>
    </w:p>
    <w:tbl>
      <w:tblPr>
        <w:tblStyle w:val="PlainTable"/>
        <w:tblW w:w="5000" w:type="pct"/>
      </w:tblPr>
      <w:tblGrid>
        <w:gridCol/>
        <w:gridCol/>
        <w:gridCol/>
      </w:tblGrid>
      <w:tr>
        <w:tc>
          <w:tcPr>
            <w:gridSpan w:val="4"/>
            <w:rStyle w:val="PlainTable"/>
          </w:tcPr>
          <w:p/>
        </w:tc>
        <w:tc>
          <w:tcPr>
            <w:gridSpan w:val="5"/>
            <w:rStyle w:val="PlainTable"/>
          </w:tcPr>
          <w:p>
            <w:r>
              <w:rPr>
                <w:rStyle w:val="PlainTable"/>
              </w:rPr>
              <w:t xml:space="preserve">Kontaktne ure</w:t>
            </w:r>
          </w:p>
        </w:tc>
        <w:tc>
          <w:tcPr>
            <w:gridSpan w:val="5"/>
            <w:rStyle w:val="PlainTable"/>
          </w:tcPr>
          <w:p/>
        </w:tc>
      </w:tr>
      <w:tr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Šifra UL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Ime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Nosilci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Predavanja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Seminarji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Klinične vaje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Druge obl. štud.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Samostojno delo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Ure skupaj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ECTS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Semestri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Izbiren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0143727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ALEKSANDER TEHNIKA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Dušan Kranjc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0242568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DIMENZIJE NASTOPANJA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Habe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0242569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DIMENZIJE NASTOPANJA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Habe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0242570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DIMENZIJE NASTOPANJA 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Habe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0595195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EDICIJSKE TEHNIKE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Nagode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0595196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ESTETIKA GLASBE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Matjaž Barbo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0242573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FILMSKA GLASBA IN NAMENSKA GLASBA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Rok Golob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0595191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GLASBE SVETA: ANTROPOLOGIJA GLASBE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Svanibor Pettan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0595198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GLASBA IN TEHNOLOGIJA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Leon Stefanija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0242575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GLASBENA AKUSTIKA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Drago Kunej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0143507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GLASBENA PALEOGRAFIJA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Aleš Nagode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0595201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GLASBENA PUBLICISTIKA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Gregor Pompe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0542875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GREGORIJANSKI KORAL 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Anton Potočnik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0143482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HISTORIČNI INSTRUMENTI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Darja Koter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0242585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IZBRANA POGLAVJA IZ DIDAKTIČNEGA SISTEMA CARLA ORFFA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Branka Rotar-Pance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0143714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KOMPONIRANJE GLASBE ZA MEDIJE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Andrej Misson, Anže Rozman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0242592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KOMPOZICIJSKE TEHNIKE 20. IN 21. STOLETJA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Uroš Rojko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0147006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KORALNI ZBOR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Anton Potočnik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19.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0595206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SLOVENSKA LJUDSKA/TRADICIJSKA GLASBA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Svanibor Pettan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0595207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SOCIOLOGIJA GLASBE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Leon Stefanija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0143719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STRATEGIJE UČENJA NA PODROČJU GLASBE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Habe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0143720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UČENCI S POSEBNIMI POTREBAMI PRI POUKU GLASBE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Habe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23.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0143721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UPORABNI VIDIKI PSIHOLOGIJE GLASBE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Habe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24.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0595211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UVOD V ETNOMUZIKOLOGIJO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Svanibor Pettan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25.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0595212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UVOD V MUZIKOLOGIJO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Matjaž Barbo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26.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0143724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VEŠČINE USPEŠNE PSIHIČNE PRIPRAVE NA NASTOP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Katarina Habe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27.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0143726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ZGODOVINA JAZZA IN STILI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Jaka Pucihar, William Steven Klink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28.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0620121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ZBOROVSKI UMETNIŠKI PROJEKT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Anton Potočnik, Egon Mihajlović, Marko Vatovec, Sebastjan Vrhovnik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40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29.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0242607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ŠTUDENTSKO TUTORSTVO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Marko Vatovec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30.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0242593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KOORDINACIJA ŠTUDENTSKEGA TUTORSTVA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Marko Vatovec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68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Celoletni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31.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0642205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DIDAKTIČNA UPORABA INFORMACIJSKO-KOMUNIKACIJSKE TEHNOLOGIJE PRI GLASBENEM POUKU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Tina Bohak Adam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rStyle w:val="PlainTable"/>
          </w:tcPr>
          <w:p>
            <w:r>
              <w:rPr>
                <w:rStyle w:val="PlainTable"/>
              </w:rPr>
              <w:t xml:space="preserve">32.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0642914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DIDAKTIČNA UPORABA INFORMACIJSKO-KOMUNIKACIJSKE TEHNOLOGIJE PRI GLASBENEM POUKU 2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Tina Bohak Adam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15</w:t>
            </w:r>
          </w:p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/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60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90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1. semester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da</w:t>
            </w:r>
          </w:p>
        </w:tc>
      </w:tr>
      <w:tr>
        <w:tc>
          <w:tcPr>
            <w:gridSpan w:val="2"/>
            <w:rStyle w:val="PlainTable"/>
          </w:tcPr>
          <w:p/>
        </w:tc>
        <w:tc>
          <w:tcPr>
            <w:gridSpan w:val="2"/>
            <w:rStyle w:val="PlainTable"/>
          </w:tcPr>
          <w:p>
            <w:r>
              <w:rPr>
                <w:rStyle w:val="PlainTable"/>
              </w:rPr>
              <w:t xml:space="preserve">Skupno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727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256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521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2116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3630</w:t>
            </w:r>
          </w:p>
        </w:tc>
        <w:tc>
          <w:tcPr>
            <w:rStyle w:val="PlainTable"/>
          </w:tcPr>
          <w:p>
            <w:r>
              <w:rPr>
                <w:rStyle w:val="PlainTable"/>
              </w:rPr>
              <w:t xml:space="preserve">121</w:t>
            </w:r>
          </w:p>
        </w:tc>
        <w:tc>
          <w:tcPr>
            <w:gridSpan w:val="2"/>
            <w:rStyle w:val="PlainTable"/>
          </w:tcPr>
          <w:p/>
        </w:tc>
      </w:tr>
    </w:tbl>
    <w:sectPr w:rsidRPr="00615EA0" w:rsidR="00E32890" w:rsidSect="0033686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B"/>
    <w:rsid w:val="00090302"/>
    <w:rsid w:val="000D7E81"/>
    <w:rsid w:val="001402F8"/>
    <w:rsid w:val="00161343"/>
    <w:rsid w:val="002116B5"/>
    <w:rsid w:val="00241413"/>
    <w:rsid w:val="002B7CE7"/>
    <w:rsid w:val="002E15C9"/>
    <w:rsid w:val="00336864"/>
    <w:rsid w:val="00434998"/>
    <w:rsid w:val="004350FB"/>
    <w:rsid w:val="0049772F"/>
    <w:rsid w:val="00615EA0"/>
    <w:rsid w:val="006345EB"/>
    <w:rsid w:val="0069778E"/>
    <w:rsid w:val="00752599"/>
    <w:rsid w:val="00762C94"/>
    <w:rsid w:val="007720CE"/>
    <w:rsid w:val="00832376"/>
    <w:rsid w:val="0085648F"/>
    <w:rsid w:val="00895D99"/>
    <w:rsid w:val="008B7D52"/>
    <w:rsid w:val="008C5984"/>
    <w:rsid w:val="008D2254"/>
    <w:rsid w:val="008D55C1"/>
    <w:rsid w:val="00912701"/>
    <w:rsid w:val="009834EA"/>
    <w:rsid w:val="00993DFA"/>
    <w:rsid w:val="00A04B24"/>
    <w:rsid w:val="00A42E40"/>
    <w:rsid w:val="00AA0A0F"/>
    <w:rsid w:val="00AD6198"/>
    <w:rsid w:val="00B13427"/>
    <w:rsid w:val="00B41EA5"/>
    <w:rsid w:val="00B959B9"/>
    <w:rsid w:val="00BA4AE7"/>
    <w:rsid w:val="00BD197C"/>
    <w:rsid w:val="00BD7F5C"/>
    <w:rsid w:val="00BF33AC"/>
    <w:rsid w:val="00C407B2"/>
    <w:rsid w:val="00CE5856"/>
    <w:rsid w:val="00D25C88"/>
    <w:rsid w:val="00DC7D1B"/>
    <w:rsid w:val="00E32890"/>
    <w:rsid w:val="00EF57B9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normal"/>
    <w:qFormat/>
    <w:rsid w:val="002E15C9"/>
    <w:rPr>
      <w:rFonts w:ascii="Garamond" w:hAnsi="Garamond"/>
      <w:sz w:val="22"/>
    </w:rPr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895D99"/>
    <w:pPr>
      <w:keepNext/>
      <w:keepLines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Heading2">
    <w:name w:val="heading 2"/>
    <w:aliases w:val="heading 2"/>
    <w:basedOn w:val="Normal"/>
    <w:next w:val="Normal"/>
    <w:link w:val="Heading2Char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heading 3"/>
    <w:basedOn w:val="Normal"/>
    <w:next w:val="Normal"/>
    <w:link w:val="Heading3Char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Heading4">
    <w:name w:val="heading 4"/>
    <w:aliases w:val="heading 4"/>
    <w:basedOn w:val="Normal"/>
    <w:next w:val="Normal"/>
    <w:link w:val="Heading4Char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Cs w:val="22"/>
    </w:rPr>
  </w:style>
  <w:style w:type="paragraph" w:styleId="Heading5">
    <w:name w:val="heading 5"/>
    <w:aliases w:val="heading 5"/>
    <w:basedOn w:val="Normal"/>
    <w:next w:val="Normal"/>
    <w:link w:val="Heading5Char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Cs w:val="22"/>
    </w:rPr>
  </w:style>
  <w:style w:type="paragraph" w:styleId="Heading6">
    <w:name w:val="heading 6"/>
    <w:aliases w:val="heading 6"/>
    <w:basedOn w:val="Normal"/>
    <w:next w:val="Normal"/>
    <w:link w:val="Heading6Char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heading 1 Char"/>
    <w:basedOn w:val="DefaultParagraphFont"/>
    <w:link w:val="Heading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styleId="Heading2Char" w:customStyle="1">
    <w:name w:val="Heading 2 Char"/>
    <w:aliases w:val="heading 2 Char"/>
    <w:basedOn w:val="DefaultParagraphFont"/>
    <w:link w:val="Heading2"/>
    <w:uiPriority w:val="9"/>
    <w:rsid w:val="00F1347F"/>
    <w:rPr>
      <w:rFonts w:ascii="Arial" w:hAnsi="Arial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aliases w:val="heading 3 Char"/>
    <w:basedOn w:val="DefaultParagraphFont"/>
    <w:link w:val="Heading3"/>
    <w:uiPriority w:val="9"/>
    <w:rsid w:val="00F1347F"/>
    <w:rPr>
      <w:rFonts w:ascii="Arial" w:hAnsi="Arial" w:eastAsiaTheme="majorEastAsia" w:cstheme="majorBidi"/>
      <w:color w:val="323232" w:themeColor="text2"/>
      <w:sz w:val="24"/>
      <w:szCs w:val="24"/>
    </w:rPr>
  </w:style>
  <w:style w:type="character" w:styleId="Heading4Char" w:customStyle="1">
    <w:name w:val="Heading 4 Char"/>
    <w:aliases w:val="heading 4 Char"/>
    <w:basedOn w:val="DefaultParagraphFont"/>
    <w:link w:val="Heading4"/>
    <w:uiPriority w:val="9"/>
    <w:rsid w:val="00F1347F"/>
    <w:rPr>
      <w:rFonts w:ascii="Arial" w:hAnsi="Arial" w:eastAsiaTheme="majorEastAsia" w:cstheme="majorBidi"/>
      <w:sz w:val="22"/>
      <w:szCs w:val="22"/>
    </w:rPr>
  </w:style>
  <w:style w:type="character" w:styleId="Heading5Char" w:customStyle="1">
    <w:name w:val="Heading 5 Char"/>
    <w:aliases w:val="heading 5 Char"/>
    <w:basedOn w:val="DefaultParagraphFont"/>
    <w:link w:val="Heading5"/>
    <w:uiPriority w:val="9"/>
    <w:rsid w:val="00F1347F"/>
    <w:rPr>
      <w:rFonts w:ascii="Arial" w:hAnsi="Arial" w:eastAsiaTheme="majorEastAsia" w:cstheme="majorBidi"/>
      <w:color w:val="323232" w:themeColor="text2"/>
      <w:sz w:val="22"/>
      <w:szCs w:val="22"/>
    </w:rPr>
  </w:style>
  <w:style w:type="character" w:styleId="Heading6Char" w:customStyle="1">
    <w:name w:val="Heading 6 Char"/>
    <w:aliases w:val="heading 6 Char"/>
    <w:basedOn w:val="DefaultParagraphFont"/>
    <w:link w:val="Heading6"/>
    <w:uiPriority w:val="9"/>
    <w:rsid w:val="00F1347F"/>
    <w:rPr>
      <w:rFonts w:ascii="Arial" w:hAnsi="Arial" w:eastAsiaTheme="majorEastAsia" w:cstheme="majorBidi"/>
      <w:i/>
      <w:iCs/>
      <w:color w:val="323232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116B5"/>
    <w:rPr>
      <w:rFonts w:asciiTheme="majorHAnsi" w:hAnsiTheme="majorHAnsi" w:eastAsiaTheme="majorEastAsia" w:cstheme="majorBidi"/>
      <w:i/>
      <w:iCs/>
      <w:color w:val="521807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116B5"/>
    <w:rPr>
      <w:rFonts w:asciiTheme="majorHAnsi" w:hAnsiTheme="majorHAnsi" w:eastAsiaTheme="majorEastAsia" w:cstheme="majorBidi"/>
      <w:b/>
      <w:bCs/>
      <w:color w:val="323232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116B5"/>
    <w:rPr>
      <w:rFonts w:asciiTheme="majorHAnsi" w:hAnsiTheme="majorHAnsi" w:eastAsiaTheme="majorEastAsia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116B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116B5"/>
    <w:rPr>
      <w:rFonts w:asciiTheme="majorHAnsi" w:hAnsiTheme="majorHAnsi" w:eastAsiaTheme="majorEastAsia" w:cstheme="majorBidi"/>
      <w:color w:val="A5300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6B5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2116B5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116B5"/>
    <w:rPr>
      <w:b/>
      <w:bCs/>
    </w:rPr>
  </w:style>
  <w:style w:type="character" w:styleId="Emphasis">
    <w:name w:val="Emphasis"/>
    <w:basedOn w:val="DefaultParagraphFont"/>
    <w:uiPriority w:val="20"/>
    <w:qFormat/>
    <w:rsid w:val="002116B5"/>
    <w:rPr>
      <w:i/>
      <w:iCs/>
    </w:rPr>
  </w:style>
  <w:style w:type="paragraph" w:styleId="NoSpacing">
    <w:name w:val="No Spacing"/>
    <w:uiPriority w:val="1"/>
    <w:qFormat/>
    <w:rsid w:val="002E15C9"/>
    <w:pPr>
      <w:spacing w:after="0" w:line="240" w:lineRule="auto"/>
    </w:pPr>
    <w:rPr>
      <w:rFonts w:ascii="Garamond" w:hAnsi="Garamon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116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6B5"/>
    <w:pPr>
      <w:pBdr>
        <w:left w:val="single" w:color="A5300F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116B5"/>
    <w:rPr>
      <w:rFonts w:asciiTheme="majorHAnsi" w:hAnsiTheme="majorHAnsi" w:eastAsiaTheme="majorEastAsia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16B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16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116B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16B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6B5"/>
    <w:pPr>
      <w:outlineLvl w:val="9"/>
    </w:pPr>
  </w:style>
  <w:style w:type="table" w:styleId="TableGrid">
    <w:name w:val="Table Grid"/>
    <w:basedOn w:val="TableNormal"/>
    <w:uiPriority w:val="39"/>
    <w:rsid w:val="00762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color="DFD7CA" w:themeColor="accent4" w:themeTint="66" w:sz="4" w:space="0"/>
        <w:left w:val="single" w:color="DFD7CA" w:themeColor="accent4" w:themeTint="66" w:sz="4" w:space="0"/>
        <w:bottom w:val="single" w:color="DFD7CA" w:themeColor="accent4" w:themeTint="66" w:sz="4" w:space="0"/>
        <w:right w:val="single" w:color="DFD7CA" w:themeColor="accent4" w:themeTint="66" w:sz="4" w:space="0"/>
        <w:insideH w:val="single" w:color="DFD7CA" w:themeColor="accent4" w:themeTint="66" w:sz="4" w:space="0"/>
        <w:insideV w:val="single" w:color="DFD7CA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0C3B0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C3B0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1342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-Accent1">
    <w:name w:val="Grid Table 1 Light Accent 1"/>
    <w:basedOn w:val="TableNormal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color="F49E86" w:themeColor="accent1" w:themeTint="66" w:sz="4" w:space="0"/>
        <w:left w:val="single" w:color="F49E86" w:themeColor="accent1" w:themeTint="66" w:sz="4" w:space="0"/>
        <w:bottom w:val="single" w:color="F49E86" w:themeColor="accent1" w:themeTint="66" w:sz="4" w:space="0"/>
        <w:right w:val="single" w:color="F49E86" w:themeColor="accent1" w:themeTint="66" w:sz="4" w:space="0"/>
        <w:insideH w:val="single" w:color="F49E86" w:themeColor="accent1" w:themeTint="66" w:sz="4" w:space="0"/>
        <w:insideV w:val="single" w:color="F49E86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E6D49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6D49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" w:customStyle="1">
    <w:name w:val="PlainTable"/>
    <w:basedOn w:val="TableGridLight"/>
    <w:uiPriority w:val="99"/>
    <w:rsid w:val="00B13427"/>
    <w:tblPr/>
  </w:style>
  <w:style w:type="paragraph" w:styleId="ListParagraph">
    <w:name w:val="List Paragraph"/>
    <w:aliases w:val="ListParagraph"/>
    <w:basedOn w:val="Normal"/>
    <w:uiPriority w:val="34"/>
    <w:qFormat/>
    <w:rsid w:val="00C407B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efaultTable" w:customStyle="1">
    <w:name w:val="DefaultTable"/>
    <w:basedOn w:val="TableGridLight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VerticalTable" w:customStyle="1">
    <w:name w:val="VerticalTable"/>
    <w:basedOn w:val="TableGridLight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aragraphTable" w:customStyle="1">
    <w:name w:val="ParagraphTable"/>
    <w:basedOn w:val="TableGridLight"/>
    <w:uiPriority w:val="99"/>
    <w:rsid w:val="008D2254"/>
    <w:pPr>
      <w:spacing w:after="120"/>
    </w:pPr>
    <w:tblPr/>
    <w:tblStylePr w:type="firstRow">
      <w:pPr>
        <w:wordWrap/>
        <w:spacing w:after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unhideWhenUsed/>
    <w:rPr xmlns:w="http://schemas.openxmlformats.org/wordprocessingml/2006/main"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theme" Target="/word/theme/theme1.xml" Id="rId6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4" /><Relationship Type="http://schemas.openxmlformats.org/officeDocument/2006/relationships/numbering" Target="/word/numbering.xml" Id="R18df3e01f6704088" /><Relationship Type="http://schemas.openxmlformats.org/officeDocument/2006/relationships/hyperlink" Target="https://www.uni-lj.si/o_univerzi_v_ljubljani/organizacija__pravilniki_in_porocila/predpisi_statut_ul_in_pravilniki/2017021011415809/" TargetMode="External" Id="Rceb1d3b73638469b" 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2C92-DEA2-4132-8845-A5C90AB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Nanut, Matej</cp:lastModifiedBy>
  <cp:revision>45</cp:revision>
  <dcterms:created xsi:type="dcterms:W3CDTF">2015-03-19T09:29:00Z</dcterms:created>
  <dcterms:modified xsi:type="dcterms:W3CDTF">2022-08-11T13:17:00Z</dcterms:modified>
</cp:coreProperties>
</file>